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B457" w14:textId="483BBBF4" w:rsidR="00D70D9E" w:rsidRPr="000A29D5" w:rsidRDefault="000A29D5" w:rsidP="000A29D5">
      <w:pPr>
        <w:jc w:val="center"/>
        <w:rPr>
          <w:rFonts w:ascii="Century Gothic" w:hAnsi="Century Gothic"/>
          <w:sz w:val="24"/>
          <w:szCs w:val="24"/>
        </w:rPr>
      </w:pPr>
      <w:r w:rsidRPr="000A29D5">
        <w:rPr>
          <w:rFonts w:ascii="Century Gothic" w:hAnsi="Century Gothic"/>
          <w:b/>
          <w:bCs/>
          <w:sz w:val="24"/>
          <w:szCs w:val="24"/>
          <w:lang w:val="es-MX"/>
        </w:rPr>
        <w:t>ALGUNA JURISPRUDENCIA NACIONAL SOBRE AMIGABLE COMPOSICIÓN</w:t>
      </w:r>
    </w:p>
    <w:p w14:paraId="65CC5236" w14:textId="6A7AC844" w:rsidR="000A29D5" w:rsidRPr="000A29D5" w:rsidRDefault="000A29D5">
      <w:pPr>
        <w:rPr>
          <w:rFonts w:ascii="Century Gothic" w:hAnsi="Century Gothic"/>
          <w:sz w:val="24"/>
          <w:szCs w:val="24"/>
        </w:rPr>
      </w:pPr>
    </w:p>
    <w:p w14:paraId="0DF6B99A" w14:textId="0FDA3755" w:rsidR="000A29D5" w:rsidRPr="000A29D5" w:rsidRDefault="000A29D5" w:rsidP="000A29D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0A29D5">
        <w:rPr>
          <w:rFonts w:ascii="Century Gothic" w:eastAsiaTheme="minorEastAsia" w:hAnsi="Century Gothic" w:cstheme="minorBidi"/>
          <w:color w:val="000000" w:themeColor="text1"/>
          <w:kern w:val="24"/>
          <w:lang w:val="es-ES"/>
        </w:rPr>
        <w:t>Sentencia SU.091/2000. Acción de tutela contra la Cámara de Comercio de Medellín.</w:t>
      </w:r>
    </w:p>
    <w:p w14:paraId="41896D3A" w14:textId="77777777" w:rsidR="000A29D5" w:rsidRPr="000A29D5" w:rsidRDefault="000A29D5" w:rsidP="000A29D5">
      <w:pPr>
        <w:pStyle w:val="Prrafodelista"/>
        <w:jc w:val="both"/>
        <w:rPr>
          <w:rFonts w:ascii="Century Gothic" w:hAnsi="Century Gothic"/>
        </w:rPr>
      </w:pPr>
    </w:p>
    <w:p w14:paraId="4D3B0E67" w14:textId="5030307F" w:rsidR="000A29D5" w:rsidRPr="000A29D5" w:rsidRDefault="000A29D5" w:rsidP="000A29D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0A29D5">
        <w:rPr>
          <w:rFonts w:ascii="Century Gothic" w:eastAsiaTheme="minorEastAsia" w:hAnsi="Century Gothic" w:cstheme="minorBidi"/>
          <w:color w:val="000000" w:themeColor="text1"/>
          <w:kern w:val="24"/>
          <w:lang w:val="es-ES"/>
        </w:rPr>
        <w:t xml:space="preserve">Sentencia T- 017/2005. Acción de Tutela contra la Sociedad Colombiana de Ingenieros – Centro de Conciliación, </w:t>
      </w:r>
      <w:proofErr w:type="gramStart"/>
      <w:r w:rsidRPr="000A29D5">
        <w:rPr>
          <w:rFonts w:ascii="Century Gothic" w:eastAsiaTheme="minorEastAsia" w:hAnsi="Century Gothic" w:cstheme="minorBidi"/>
          <w:color w:val="000000" w:themeColor="text1"/>
          <w:kern w:val="24"/>
          <w:lang w:val="es-ES"/>
        </w:rPr>
        <w:t>Arbitraje  y</w:t>
      </w:r>
      <w:proofErr w:type="gramEnd"/>
      <w:r w:rsidRPr="000A29D5">
        <w:rPr>
          <w:rFonts w:ascii="Century Gothic" w:eastAsiaTheme="minorEastAsia" w:hAnsi="Century Gothic" w:cstheme="minorBidi"/>
          <w:color w:val="000000" w:themeColor="text1"/>
          <w:kern w:val="24"/>
          <w:lang w:val="es-ES"/>
        </w:rPr>
        <w:t xml:space="preserve"> Amigable Composición.</w:t>
      </w:r>
    </w:p>
    <w:p w14:paraId="63C15D96" w14:textId="77777777" w:rsidR="000A29D5" w:rsidRPr="000A29D5" w:rsidRDefault="000A29D5" w:rsidP="000A29D5">
      <w:pPr>
        <w:pStyle w:val="Prrafodelista"/>
        <w:jc w:val="both"/>
        <w:rPr>
          <w:rFonts w:ascii="Century Gothic" w:hAnsi="Century Gothic"/>
        </w:rPr>
      </w:pPr>
    </w:p>
    <w:p w14:paraId="6DA46DDE" w14:textId="2A95BFFF" w:rsidR="000A29D5" w:rsidRPr="000A29D5" w:rsidRDefault="000A29D5" w:rsidP="000A29D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0A29D5">
        <w:rPr>
          <w:rFonts w:ascii="Century Gothic" w:eastAsiaTheme="minorEastAsia" w:hAnsi="Century Gothic" w:cstheme="minorBidi"/>
          <w:color w:val="000000" w:themeColor="text1"/>
          <w:kern w:val="24"/>
          <w:lang w:val="es-ES"/>
        </w:rPr>
        <w:t xml:space="preserve">Sentencia C -014/2010 – Demanda de inconstitucionalidad por vulneración del principio de igualdad. MASC en las SAS. </w:t>
      </w:r>
    </w:p>
    <w:p w14:paraId="4DF36550" w14:textId="77777777" w:rsidR="000A29D5" w:rsidRPr="000A29D5" w:rsidRDefault="000A29D5" w:rsidP="000A29D5">
      <w:pPr>
        <w:pStyle w:val="Prrafodelista"/>
        <w:jc w:val="both"/>
        <w:rPr>
          <w:rFonts w:ascii="Century Gothic" w:hAnsi="Century Gothic"/>
        </w:rPr>
      </w:pPr>
    </w:p>
    <w:p w14:paraId="5817BF6E" w14:textId="77777777" w:rsidR="000A29D5" w:rsidRPr="000A29D5" w:rsidRDefault="000A29D5" w:rsidP="000A29D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0A29D5">
        <w:rPr>
          <w:rFonts w:ascii="Century Gothic" w:eastAsiaTheme="minorEastAsia" w:hAnsi="Century Gothic" w:cstheme="minorBidi"/>
          <w:color w:val="000000" w:themeColor="text1"/>
          <w:kern w:val="24"/>
          <w:lang w:val="es-ES"/>
        </w:rPr>
        <w:t>Sentencia C- 330 de 2012. Acción pública de inconstitucionalidad contra varias normas legales referentes a MASC, incluida la regulación de la AC.</w:t>
      </w:r>
    </w:p>
    <w:p w14:paraId="0361D311" w14:textId="5AEAD80A" w:rsidR="000A29D5" w:rsidRPr="000A29D5" w:rsidRDefault="000A29D5">
      <w:pPr>
        <w:rPr>
          <w:rFonts w:ascii="Century Gothic" w:hAnsi="Century Gothic"/>
          <w:sz w:val="24"/>
          <w:szCs w:val="24"/>
        </w:rPr>
      </w:pPr>
    </w:p>
    <w:p w14:paraId="7E6EDF8E" w14:textId="77777777" w:rsidR="000A29D5" w:rsidRPr="000A29D5" w:rsidRDefault="000A29D5">
      <w:pPr>
        <w:rPr>
          <w:rFonts w:ascii="Century Gothic" w:hAnsi="Century Gothic"/>
          <w:sz w:val="24"/>
          <w:szCs w:val="24"/>
        </w:rPr>
      </w:pPr>
    </w:p>
    <w:sectPr w:rsidR="000A29D5" w:rsidRPr="000A29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6D62"/>
    <w:multiLevelType w:val="hybridMultilevel"/>
    <w:tmpl w:val="09FC84FE"/>
    <w:lvl w:ilvl="0" w:tplc="803CF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EE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84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4F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C2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7CB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D6B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BC6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81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D5"/>
    <w:rsid w:val="000A29D5"/>
    <w:rsid w:val="00D7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72CF"/>
  <w15:chartTrackingRefBased/>
  <w15:docId w15:val="{B738CC49-EF84-4945-9903-B64FCC6A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29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3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7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3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39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Bibiana Bernal Mesa</dc:creator>
  <cp:keywords/>
  <dc:description/>
  <cp:lastModifiedBy>Bibiana Bernal Mesa</cp:lastModifiedBy>
  <cp:revision>1</cp:revision>
  <dcterms:created xsi:type="dcterms:W3CDTF">2021-04-18T16:34:00Z</dcterms:created>
  <dcterms:modified xsi:type="dcterms:W3CDTF">2021-04-18T16:36:00Z</dcterms:modified>
</cp:coreProperties>
</file>